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0"/>
        <w:gridCol w:w="420"/>
        <w:gridCol w:w="200"/>
        <w:gridCol w:w="4400"/>
        <w:gridCol w:w="2800"/>
        <w:gridCol w:w="940"/>
        <w:gridCol w:w="1040"/>
        <w:gridCol w:w="400"/>
        <w:gridCol w:w="40"/>
        <w:gridCol w:w="40"/>
      </w:tblGrid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  <w:bookmarkStart w:id="0" w:name="JR_PAGE_ANCHOR_0_1"/>
            <w:bookmarkEnd w:id="0"/>
          </w:p>
        </w:tc>
        <w:tc>
          <w:tcPr>
            <w:tcW w:w="42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4600" w:type="dxa"/>
            <w:gridSpan w:val="2"/>
          </w:tcPr>
          <w:p w:rsidR="005259D7" w:rsidRDefault="005259D7">
            <w:pPr>
              <w:pStyle w:val="EMPTYCELLSTYLE"/>
            </w:pPr>
          </w:p>
        </w:tc>
        <w:tc>
          <w:tcPr>
            <w:tcW w:w="280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1980" w:type="dxa"/>
            <w:gridSpan w:val="2"/>
          </w:tcPr>
          <w:p w:rsidR="005259D7" w:rsidRDefault="005259D7">
            <w:pPr>
              <w:pStyle w:val="EMPTYCELLSTYLE"/>
            </w:pPr>
          </w:p>
        </w:tc>
        <w:tc>
          <w:tcPr>
            <w:tcW w:w="420" w:type="dxa"/>
            <w:gridSpan w:val="2"/>
          </w:tcPr>
          <w:p w:rsidR="005259D7" w:rsidRDefault="005259D7">
            <w:pPr>
              <w:pStyle w:val="EMPTYCELLSTYLE"/>
            </w:pP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168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42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938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b/>
                <w:sz w:val="24"/>
              </w:rPr>
              <w:t xml:space="preserve">ПАСПОРТ ТЕРРИТОРИИ ЗЕЛЕНЫХ НАСАЖДЕНИЙ ОБЩЕГО ПОЛЬЗОВАНИЯ МЕСТНОГО ЗНАЧЕНИЯ </w:t>
            </w:r>
          </w:p>
        </w:tc>
        <w:tc>
          <w:tcPr>
            <w:tcW w:w="420" w:type="dxa"/>
            <w:gridSpan w:val="2"/>
          </w:tcPr>
          <w:p w:rsidR="005259D7" w:rsidRDefault="005259D7">
            <w:pPr>
              <w:pStyle w:val="EMPTYCELLSTYLE"/>
            </w:pP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10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42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4600" w:type="dxa"/>
            <w:gridSpan w:val="2"/>
          </w:tcPr>
          <w:p w:rsidR="005259D7" w:rsidRDefault="005259D7">
            <w:pPr>
              <w:pStyle w:val="EMPTYCELLSTYLE"/>
            </w:pPr>
          </w:p>
        </w:tc>
        <w:tc>
          <w:tcPr>
            <w:tcW w:w="280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1980" w:type="dxa"/>
            <w:gridSpan w:val="2"/>
          </w:tcPr>
          <w:p w:rsidR="005259D7" w:rsidRDefault="005259D7">
            <w:pPr>
              <w:pStyle w:val="EMPTYCELLSTYLE"/>
            </w:pPr>
          </w:p>
        </w:tc>
        <w:tc>
          <w:tcPr>
            <w:tcW w:w="420" w:type="dxa"/>
            <w:gridSpan w:val="2"/>
          </w:tcPr>
          <w:p w:rsidR="005259D7" w:rsidRDefault="005259D7">
            <w:pPr>
              <w:pStyle w:val="EMPTYCELLSTYLE"/>
            </w:pP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502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Наименование  района Санкт-Петербурга</w:t>
            </w:r>
          </w:p>
        </w:tc>
        <w:tc>
          <w:tcPr>
            <w:tcW w:w="280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24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F80AC1">
            <w:pPr>
              <w:pStyle w:val="Default"/>
              <w:jc w:val="center"/>
            </w:pPr>
            <w:r>
              <w:t>Курортный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14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782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Наименование исполнительного органа государственной власти Санкт-Петербурга, к полномочиям которого отнесено содержание территории зеленых насаждений</w:t>
            </w:r>
          </w:p>
        </w:tc>
        <w:tc>
          <w:tcPr>
            <w:tcW w:w="24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__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206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782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Наименование органа местного самоуправления внутригородского муниципального образования Санкт-Петербурга, к вопросам местного значения которого отнесено содержание территории зеленых насаждений</w:t>
            </w:r>
          </w:p>
        </w:tc>
        <w:tc>
          <w:tcPr>
            <w:tcW w:w="24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Внутригородское муниципальное образование города федерального </w:t>
            </w:r>
            <w:r>
              <w:rPr>
                <w:rFonts w:ascii="DejaVu Sans" w:eastAsia="DejaVu Sans" w:hAnsi="DejaVu Sans" w:cs="DejaVu Sans"/>
                <w:sz w:val="18"/>
              </w:rPr>
              <w:t>значения Санкт-Петербурга посёлок Смолячково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78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782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Юридическое лицо, индивидуальный предприниматель, физическое лицо, в пользовании или владении которого находится территория зеленых насаждений</w:t>
            </w:r>
          </w:p>
        </w:tc>
        <w:tc>
          <w:tcPr>
            <w:tcW w:w="24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__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7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782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Номер территории зеленых насаждений</w:t>
            </w:r>
          </w:p>
        </w:tc>
        <w:tc>
          <w:tcPr>
            <w:tcW w:w="24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38-123-1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160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782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Наименование, местоположение территории зеленых насаждений</w:t>
            </w:r>
          </w:p>
        </w:tc>
        <w:tc>
          <w:tcPr>
            <w:tcW w:w="24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сквер б/н юго-восточнее пересечения Приморского шоссе и Приморского пер. (пос. Смолячково)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88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782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Наличие статуса объекта культурного наследия федерального или регионального значения, наличие охранного обязательства</w:t>
            </w:r>
          </w:p>
        </w:tc>
        <w:tc>
          <w:tcPr>
            <w:tcW w:w="24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Не имеется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c>
          <w:tcPr>
            <w:tcW w:w="180" w:type="dxa"/>
          </w:tcPr>
          <w:p w:rsidR="005259D7" w:rsidRDefault="005259D7">
            <w:pPr>
              <w:pStyle w:val="EMPTYCELLSTYLE"/>
              <w:pageBreakBefore/>
            </w:pPr>
            <w:bookmarkStart w:id="1" w:name="JR_PAGE_ANCHOR_0_2"/>
            <w:bookmarkEnd w:id="1"/>
          </w:p>
        </w:tc>
        <w:tc>
          <w:tcPr>
            <w:tcW w:w="620" w:type="dxa"/>
            <w:gridSpan w:val="2"/>
          </w:tcPr>
          <w:p w:rsidR="005259D7" w:rsidRDefault="005259D7">
            <w:pPr>
              <w:pStyle w:val="EMPTYCELLSTYLE"/>
            </w:pPr>
          </w:p>
        </w:tc>
        <w:tc>
          <w:tcPr>
            <w:tcW w:w="8140" w:type="dxa"/>
            <w:gridSpan w:val="3"/>
          </w:tcPr>
          <w:p w:rsidR="005259D7" w:rsidRDefault="005259D7">
            <w:pPr>
              <w:pStyle w:val="EMPTYCELLSTYLE"/>
            </w:pPr>
          </w:p>
        </w:tc>
        <w:tc>
          <w:tcPr>
            <w:tcW w:w="1440" w:type="dxa"/>
            <w:gridSpan w:val="2"/>
          </w:tcPr>
          <w:p w:rsidR="005259D7" w:rsidRDefault="005259D7">
            <w:pPr>
              <w:pStyle w:val="EMPTYCELLSTYLE"/>
            </w:pPr>
          </w:p>
        </w:tc>
        <w:tc>
          <w:tcPr>
            <w:tcW w:w="2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10220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b/>
                <w:sz w:val="18"/>
              </w:rPr>
              <w:t>Общие сведения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N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Наименование показателя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Количество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Общая площадь,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5700.00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Газоны,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4366.92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Цветники,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2.70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Дорожки и площадки,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1161.10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Деревья,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6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Кустарники, шт. 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209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7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Диваны и скамейки,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19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8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Урны,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9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9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Оборудованные детские площадки,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10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Оборудованные спортивные площадки,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10200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b/>
                <w:sz w:val="18"/>
              </w:rPr>
              <w:t>Сведения по площадям</w:t>
            </w:r>
          </w:p>
        </w:tc>
        <w:tc>
          <w:tcPr>
            <w:tcW w:w="2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Общая площадь,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5700.00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зелеными насаждениями,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4456.64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13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газонами,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4366.92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13.1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партерными газонами,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13.2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обыкновенными газонами,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4366.92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13.3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газонами на откосах,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13.4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луговыми газонами,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13.5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цветущими (мавританскими) газонами,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13.6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спортивными газонами,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14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деревьями,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10.00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14.1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рыхления лунок деревьев до 3 лет после посадки,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14.2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стволами деревьев более 3 лет после посадки,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10.0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14.3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древостоем естественного происхождения (лесом),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15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кустарниками,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77.02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48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15.1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рыхления лунок и канавок одиночных кустарников и кустарников в группах,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75.62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15.2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рыхления лунок и канавок кустарников в живой изгороди,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1.40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16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цветниками,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2.70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16.1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цветниками из летников (в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т.ч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 xml:space="preserve">. из луковичных и виолы),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1.80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16.2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цветниками из многолетних травянистых растений,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17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дорожками и площадками,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1161.10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c>
          <w:tcPr>
            <w:tcW w:w="180" w:type="dxa"/>
          </w:tcPr>
          <w:p w:rsidR="005259D7" w:rsidRDefault="005259D7">
            <w:pPr>
              <w:pStyle w:val="EMPTYCELLSTYLE"/>
              <w:pageBreakBefore/>
            </w:pPr>
            <w:bookmarkStart w:id="2" w:name="JR_PAGE_ANCHOR_0_3"/>
            <w:bookmarkEnd w:id="2"/>
          </w:p>
        </w:tc>
        <w:tc>
          <w:tcPr>
            <w:tcW w:w="620" w:type="dxa"/>
            <w:gridSpan w:val="2"/>
          </w:tcPr>
          <w:p w:rsidR="005259D7" w:rsidRDefault="005259D7">
            <w:pPr>
              <w:pStyle w:val="EMPTYCELLSTYLE"/>
            </w:pPr>
          </w:p>
        </w:tc>
        <w:tc>
          <w:tcPr>
            <w:tcW w:w="8140" w:type="dxa"/>
            <w:gridSpan w:val="3"/>
          </w:tcPr>
          <w:p w:rsidR="005259D7" w:rsidRDefault="005259D7">
            <w:pPr>
              <w:pStyle w:val="EMPTYCELLSTYLE"/>
            </w:pPr>
          </w:p>
        </w:tc>
        <w:tc>
          <w:tcPr>
            <w:tcW w:w="1460" w:type="dxa"/>
            <w:gridSpan w:val="3"/>
          </w:tcPr>
          <w:p w:rsidR="005259D7" w:rsidRDefault="005259D7">
            <w:pPr>
              <w:pStyle w:val="EMPTYCELLSTYLE"/>
            </w:pP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17.1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дорожками и площадками с асфальтобетонным покрытием,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53.77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56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17.2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дорожками и площадками с покрытием из бетонной плитки,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922.42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64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17.3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дорожками и площадками с покрытием из гранитной плитки,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17.4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дорожками и площадками с булыжным мощением,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64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17.5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дорожками и площадками с набивным щебеночным покрытием,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17.6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дорожками и площадками с грунтовым покрытием,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17.7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дорожками и площадками с синтетическим покрытием,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184.91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18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водоемами,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19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системы отвода поверхностных и дренажных вод,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82.26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19.1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открытыми (закрытыми) дренажными канавами,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82.26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19.2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лотками,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20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строениями,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7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аттракционами, водными устройствами, произведениями монументального искусства, сопряжения поверхностей, иными некапитальными объектами,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5.0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Площадь, находящаяся в аренде,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23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объекта,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>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145.0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24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бровок дорожек,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>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693.25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25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бортового камня,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>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574,9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25.1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гранитного бортового камня,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>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25.2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бетонного бортового камня,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574.9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25.3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резинового бортового камня,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26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закрытой системы отвода поверхностных и дренажных вод,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27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колодцев системы отвода поверхностных и дренажных вод,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28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канав,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>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79.4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29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лотков,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>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64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10220" w:type="dxa"/>
            <w:gridSpan w:val="8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b/>
                <w:sz w:val="18"/>
              </w:rPr>
              <w:t>Сведения по деревьям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30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Общее количество деревьев,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30.1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Количество деревьев 1-3 лет после посадки, шт. 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30.2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Количество деревьев более 3 лет после посадки, шт. 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30.3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Количество деревьев возрастом до 10 лет, шт. 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30.4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Количество деревьев возрастом 10-20 лет, шт. 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15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30.5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Количество деревьев возрастом свыше 20 лет, шт. 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хвойных деревьев по видам,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12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Перечень деревьев,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"/>
              <w:jc w:val="center"/>
            </w:pP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Sub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Sub"/>
            </w:pPr>
            <w:r>
              <w:rPr>
                <w:rFonts w:ascii="DejaVu Sans" w:eastAsia="DejaVu Sans" w:hAnsi="DejaVu Sans" w:cs="DejaVu Sans"/>
                <w:i/>
                <w:sz w:val="18"/>
              </w:rPr>
              <w:t>Сосна обыкновенная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Sub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12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31.1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до 10 лет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31.2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10-20 лет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11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31.3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Свыше 20 лет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лиственных деревьев по видам,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38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Перечень деревьев,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"/>
              <w:jc w:val="center"/>
            </w:pP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Sub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Sub"/>
            </w:pPr>
            <w:r>
              <w:rPr>
                <w:rFonts w:ascii="DejaVu Sans" w:eastAsia="DejaVu Sans" w:hAnsi="DejaVu Sans" w:cs="DejaVu Sans"/>
                <w:i/>
                <w:sz w:val="18"/>
              </w:rPr>
              <w:t>Береза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Sub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c>
          <w:tcPr>
            <w:tcW w:w="180" w:type="dxa"/>
          </w:tcPr>
          <w:p w:rsidR="005259D7" w:rsidRDefault="005259D7">
            <w:pPr>
              <w:pStyle w:val="EMPTYCELLSTYLE"/>
              <w:pageBreakBefore/>
            </w:pPr>
            <w:bookmarkStart w:id="3" w:name="JR_PAGE_ANCHOR_0_4"/>
            <w:bookmarkEnd w:id="3"/>
          </w:p>
        </w:tc>
        <w:tc>
          <w:tcPr>
            <w:tcW w:w="620" w:type="dxa"/>
            <w:gridSpan w:val="2"/>
          </w:tcPr>
          <w:p w:rsidR="005259D7" w:rsidRDefault="005259D7">
            <w:pPr>
              <w:pStyle w:val="EMPTYCELLSTYLE"/>
            </w:pPr>
          </w:p>
        </w:tc>
        <w:tc>
          <w:tcPr>
            <w:tcW w:w="8140" w:type="dxa"/>
            <w:gridSpan w:val="3"/>
          </w:tcPr>
          <w:p w:rsidR="005259D7" w:rsidRDefault="005259D7">
            <w:pPr>
              <w:pStyle w:val="EMPTYCELLSTYLE"/>
            </w:pPr>
          </w:p>
        </w:tc>
        <w:tc>
          <w:tcPr>
            <w:tcW w:w="1460" w:type="dxa"/>
            <w:gridSpan w:val="3"/>
          </w:tcPr>
          <w:p w:rsidR="005259D7" w:rsidRDefault="005259D7">
            <w:pPr>
              <w:pStyle w:val="EMPTYCELLSTYLE"/>
            </w:pP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Sub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Sub"/>
            </w:pPr>
            <w:r>
              <w:rPr>
                <w:rFonts w:ascii="DejaVu Sans" w:eastAsia="DejaVu Sans" w:hAnsi="DejaVu Sans" w:cs="DejaVu Sans"/>
                <w:i/>
                <w:sz w:val="18"/>
              </w:rPr>
              <w:t>Каштан конский обыкновенный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Sub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6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Sub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Sub"/>
            </w:pPr>
            <w:r>
              <w:rPr>
                <w:rFonts w:ascii="DejaVu Sans" w:eastAsia="DejaVu Sans" w:hAnsi="DejaVu Sans" w:cs="DejaVu Sans"/>
                <w:i/>
                <w:sz w:val="18"/>
              </w:rPr>
              <w:t>Клен остролистный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Sub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12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Sub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Sub"/>
            </w:pPr>
            <w:r>
              <w:rPr>
                <w:rFonts w:ascii="DejaVu Sans" w:eastAsia="DejaVu Sans" w:hAnsi="DejaVu Sans" w:cs="DejaVu Sans"/>
                <w:i/>
                <w:sz w:val="18"/>
              </w:rPr>
              <w:t xml:space="preserve">Клен остролистный ф. </w:t>
            </w:r>
            <w:proofErr w:type="spellStart"/>
            <w:r>
              <w:rPr>
                <w:rFonts w:ascii="DejaVu Sans" w:eastAsia="DejaVu Sans" w:hAnsi="DejaVu Sans" w:cs="DejaVu Sans"/>
                <w:i/>
                <w:sz w:val="18"/>
              </w:rPr>
              <w:t>Роял</w:t>
            </w:r>
            <w:proofErr w:type="spellEnd"/>
            <w:r>
              <w:rPr>
                <w:rFonts w:ascii="DejaVu Sans" w:eastAsia="DejaVu Sans" w:hAnsi="DejaVu Sans" w:cs="DejaVu Sans"/>
                <w:i/>
                <w:sz w:val="18"/>
              </w:rPr>
              <w:t xml:space="preserve"> Рэд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Sub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Sub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Sub"/>
            </w:pPr>
            <w:r>
              <w:rPr>
                <w:rFonts w:ascii="DejaVu Sans" w:eastAsia="DejaVu Sans" w:hAnsi="DejaVu Sans" w:cs="DejaVu Sans"/>
                <w:i/>
                <w:sz w:val="18"/>
              </w:rPr>
              <w:t>Ольха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Sub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Sub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Sub"/>
            </w:pPr>
            <w:r>
              <w:rPr>
                <w:rFonts w:ascii="DejaVu Sans" w:eastAsia="DejaVu Sans" w:hAnsi="DejaVu Sans" w:cs="DejaVu Sans"/>
                <w:i/>
                <w:sz w:val="18"/>
              </w:rPr>
              <w:t>Черемуха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Sub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Sub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Sub"/>
            </w:pPr>
            <w:r>
              <w:rPr>
                <w:rFonts w:ascii="DejaVu Sans" w:eastAsia="DejaVu Sans" w:hAnsi="DejaVu Sans" w:cs="DejaVu Sans"/>
                <w:i/>
                <w:sz w:val="18"/>
              </w:rPr>
              <w:t>Яблоня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Sub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32.1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до 10 лет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32.2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10-20 лет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32.3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Свыше 20 лет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33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В том числе количество формованных деревьев,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10220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b/>
                <w:sz w:val="18"/>
              </w:rPr>
              <w:t>Сведения по Кустарникам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34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Общее количество кустарников,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шт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209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35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кустарников одиночных и в группах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199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35.1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колючих кустарников одиночных и в группах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Перечень кустарников,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"/>
              <w:jc w:val="center"/>
            </w:pP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Sub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Sub"/>
            </w:pPr>
            <w:r>
              <w:rPr>
                <w:rFonts w:ascii="DejaVu Sans" w:eastAsia="DejaVu Sans" w:hAnsi="DejaVu Sans" w:cs="DejaVu Sans"/>
                <w:i/>
                <w:sz w:val="18"/>
              </w:rPr>
              <w:t xml:space="preserve">Барбарис </w:t>
            </w:r>
            <w:proofErr w:type="spellStart"/>
            <w:r>
              <w:rPr>
                <w:rFonts w:ascii="DejaVu Sans" w:eastAsia="DejaVu Sans" w:hAnsi="DejaVu Sans" w:cs="DejaVu Sans"/>
                <w:i/>
                <w:sz w:val="18"/>
              </w:rPr>
              <w:t>Тунберга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Sub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35.2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неколючих кустарников одиночных и в группах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198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Перечень кустарников,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"/>
              <w:jc w:val="center"/>
            </w:pP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Sub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Sub"/>
            </w:pPr>
            <w:r>
              <w:rPr>
                <w:rFonts w:ascii="DejaVu Sans" w:eastAsia="DejaVu Sans" w:hAnsi="DejaVu Sans" w:cs="DejaVu Sans"/>
                <w:i/>
                <w:sz w:val="18"/>
              </w:rPr>
              <w:t xml:space="preserve">Рябинник </w:t>
            </w:r>
            <w:proofErr w:type="spellStart"/>
            <w:r>
              <w:rPr>
                <w:rFonts w:ascii="DejaVu Sans" w:eastAsia="DejaVu Sans" w:hAnsi="DejaVu Sans" w:cs="DejaVu Sans"/>
                <w:i/>
                <w:sz w:val="18"/>
              </w:rPr>
              <w:t>рябинолистный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Sub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Sub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Sub"/>
            </w:pPr>
            <w:r>
              <w:rPr>
                <w:rFonts w:ascii="DejaVu Sans" w:eastAsia="DejaVu Sans" w:hAnsi="DejaVu Sans" w:cs="DejaVu Sans"/>
                <w:i/>
                <w:sz w:val="18"/>
              </w:rPr>
              <w:t>Сирень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Sub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27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Sub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Sub"/>
            </w:pPr>
            <w:r>
              <w:rPr>
                <w:rFonts w:ascii="DejaVu Sans" w:eastAsia="DejaVu Sans" w:hAnsi="DejaVu Sans" w:cs="DejaVu Sans"/>
                <w:i/>
                <w:sz w:val="18"/>
              </w:rPr>
              <w:t>Чубушник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Sub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Sub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Sub"/>
            </w:pPr>
            <w:r>
              <w:rPr>
                <w:rFonts w:ascii="DejaVu Sans" w:eastAsia="DejaVu Sans" w:hAnsi="DejaVu Sans" w:cs="DejaVu Sans"/>
                <w:i/>
                <w:sz w:val="18"/>
              </w:rPr>
              <w:t xml:space="preserve">Спирея японская </w:t>
            </w:r>
            <w:proofErr w:type="spellStart"/>
            <w:r>
              <w:rPr>
                <w:rFonts w:ascii="DejaVu Sans" w:eastAsia="DejaVu Sans" w:hAnsi="DejaVu Sans" w:cs="DejaVu Sans"/>
                <w:i/>
                <w:sz w:val="18"/>
              </w:rPr>
              <w:t>Литл</w:t>
            </w:r>
            <w:proofErr w:type="spellEnd"/>
            <w:r>
              <w:rPr>
                <w:rFonts w:ascii="DejaVu Sans" w:eastAsia="DejaVu Sans" w:hAnsi="DejaVu Sans" w:cs="DejaVu Sans"/>
                <w:i/>
                <w:sz w:val="18"/>
              </w:rPr>
              <w:t xml:space="preserve"> Принцесс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Sub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8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Sub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Sub"/>
            </w:pPr>
            <w:r>
              <w:rPr>
                <w:rFonts w:ascii="DejaVu Sans" w:eastAsia="DejaVu Sans" w:hAnsi="DejaVu Sans" w:cs="DejaVu Sans"/>
                <w:i/>
                <w:sz w:val="18"/>
              </w:rPr>
              <w:t xml:space="preserve">Спирея серая </w:t>
            </w:r>
            <w:proofErr w:type="spellStart"/>
            <w:r>
              <w:rPr>
                <w:rFonts w:ascii="DejaVu Sans" w:eastAsia="DejaVu Sans" w:hAnsi="DejaVu Sans" w:cs="DejaVu Sans"/>
                <w:i/>
                <w:sz w:val="18"/>
              </w:rPr>
              <w:t>Грефшейм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Sub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160</w:t>
            </w:r>
            <w:bookmarkStart w:id="4" w:name="_GoBack"/>
            <w:bookmarkEnd w:id="4"/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Sub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Sub"/>
            </w:pPr>
            <w:r>
              <w:rPr>
                <w:rFonts w:ascii="DejaVu Sans" w:eastAsia="DejaVu Sans" w:hAnsi="DejaVu Sans" w:cs="DejaVu Sans"/>
                <w:i/>
                <w:sz w:val="18"/>
              </w:rPr>
              <w:t>Ива пурпурная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Sub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36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кустарников в живой изгороди,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36.1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колючих кустарников в живой изгороди,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36.1.1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колючих кустарников в стригущейся живой изгороди,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Перечень кустарников,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"/>
              <w:jc w:val="center"/>
            </w:pP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Sub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Sub"/>
            </w:pPr>
            <w:r>
              <w:rPr>
                <w:rFonts w:ascii="DejaVu Sans" w:eastAsia="DejaVu Sans" w:hAnsi="DejaVu Sans" w:cs="DejaVu Sans"/>
                <w:i/>
                <w:sz w:val="18"/>
              </w:rPr>
              <w:t>Роза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Sub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36.1.2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Количество колючих кустарников в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нестригущейся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 xml:space="preserve"> живой изгороди,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Перечень кустарников,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"/>
              <w:jc w:val="center"/>
            </w:pP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36.2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неколючих кустарников в живой изгороди,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36.2.1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неколючих кустарников в стригущейся живой изгороди,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Перечень кустарников,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"/>
              <w:jc w:val="center"/>
            </w:pP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36.2.2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Количество неколючих кустарников в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нестригущейся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 xml:space="preserve"> живой изгороди,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Перечень кустарников,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"/>
              <w:jc w:val="center"/>
            </w:pP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c>
          <w:tcPr>
            <w:tcW w:w="180" w:type="dxa"/>
          </w:tcPr>
          <w:p w:rsidR="005259D7" w:rsidRDefault="005259D7">
            <w:pPr>
              <w:pStyle w:val="EMPTYCELLSTYLE"/>
              <w:pageBreakBefore/>
            </w:pPr>
            <w:bookmarkStart w:id="5" w:name="JR_PAGE_ANCHOR_0_5"/>
            <w:bookmarkEnd w:id="5"/>
          </w:p>
        </w:tc>
        <w:tc>
          <w:tcPr>
            <w:tcW w:w="620" w:type="dxa"/>
            <w:gridSpan w:val="2"/>
          </w:tcPr>
          <w:p w:rsidR="005259D7" w:rsidRDefault="005259D7">
            <w:pPr>
              <w:pStyle w:val="EMPTYCELLSTYLE"/>
            </w:pPr>
          </w:p>
        </w:tc>
        <w:tc>
          <w:tcPr>
            <w:tcW w:w="8140" w:type="dxa"/>
            <w:gridSpan w:val="3"/>
          </w:tcPr>
          <w:p w:rsidR="005259D7" w:rsidRDefault="005259D7">
            <w:pPr>
              <w:pStyle w:val="EMPTYCELLSTYLE"/>
            </w:pPr>
          </w:p>
        </w:tc>
        <w:tc>
          <w:tcPr>
            <w:tcW w:w="1440" w:type="dxa"/>
            <w:gridSpan w:val="2"/>
          </w:tcPr>
          <w:p w:rsidR="005259D7" w:rsidRDefault="005259D7">
            <w:pPr>
              <w:pStyle w:val="EMPTYCELLSTYLE"/>
            </w:pPr>
          </w:p>
        </w:tc>
        <w:tc>
          <w:tcPr>
            <w:tcW w:w="2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37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живой изгороди,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>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10.0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37.1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живой изгороди из колючих кустарников,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>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10.0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37.1.1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стригущейся живой изгороди из колючих кустарников,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>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10.0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37.1.2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нестригущейся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 xml:space="preserve"> живой изгороди из колючих кустарников,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>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37.2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живой изгороди из неколючих кустарников,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>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37.2.1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стригущейся живой изгороди из неколючих кустарников,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>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37.2.2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нестригущейся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 xml:space="preserve"> живой изгороди из неколючих кустарников,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>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38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Площадь развернутой поверхности стригущейся живой изгороди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"/>
              <w:jc w:val="center"/>
            </w:pP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6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38.1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развернутой поверхности стригущейся живой изгороди из колючих кустарников,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44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54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38.2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развернутой поверхности стригущейся живой изгороди из неколючих кустарников,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66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39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Площадь развернутой поверхности стригущихся кустарников одиночных и в группах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25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64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10220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b/>
                <w:sz w:val="18"/>
              </w:rPr>
              <w:t>Сведения по травянистым растениям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40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многолетних травянистых растений,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Перечень многолетних травянистых растений,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"/>
              <w:jc w:val="center"/>
            </w:pP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мелколуковичных растений,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Перечень мелколуковичных растений,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"/>
              <w:jc w:val="center"/>
            </w:pP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64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10200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b/>
                <w:sz w:val="18"/>
              </w:rPr>
              <w:t>Сведения по прочим элементам благоустройства</w:t>
            </w:r>
          </w:p>
        </w:tc>
        <w:tc>
          <w:tcPr>
            <w:tcW w:w="2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оборудованных детских площадок,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43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оборудования детских площадок,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Перечень оборудования,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"/>
              <w:jc w:val="center"/>
            </w:pP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44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оборудованных спортивных площадок,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45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оборудования спортивных площадок,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7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Перечень оборудования,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"/>
              <w:jc w:val="center"/>
            </w:pP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Sub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Sub"/>
            </w:pPr>
            <w:r>
              <w:rPr>
                <w:rFonts w:ascii="DejaVu Sans" w:eastAsia="DejaVu Sans" w:hAnsi="DejaVu Sans" w:cs="DejaVu Sans"/>
                <w:i/>
                <w:sz w:val="18"/>
              </w:rPr>
              <w:t xml:space="preserve">Брусья параллельные 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Sub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Sub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Sub"/>
            </w:pPr>
            <w:r>
              <w:rPr>
                <w:rFonts w:ascii="DejaVu Sans" w:eastAsia="DejaVu Sans" w:hAnsi="DejaVu Sans" w:cs="DejaVu Sans"/>
                <w:i/>
                <w:sz w:val="18"/>
              </w:rPr>
              <w:t xml:space="preserve">Домик-беседка 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Sub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Sub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Sub"/>
            </w:pPr>
            <w:r>
              <w:rPr>
                <w:rFonts w:ascii="DejaVu Sans" w:eastAsia="DejaVu Sans" w:hAnsi="DejaVu Sans" w:cs="DejaVu Sans"/>
                <w:i/>
                <w:sz w:val="18"/>
              </w:rPr>
              <w:t xml:space="preserve">Информационный стенд 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Sub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Sub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Sub"/>
            </w:pPr>
            <w:r>
              <w:rPr>
                <w:rFonts w:ascii="DejaVu Sans" w:eastAsia="DejaVu Sans" w:hAnsi="DejaVu Sans" w:cs="DejaVu Sans"/>
                <w:i/>
                <w:sz w:val="18"/>
              </w:rPr>
              <w:t xml:space="preserve">Лабиринт 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Sub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Sub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Sub"/>
            </w:pPr>
            <w:r>
              <w:rPr>
                <w:rFonts w:ascii="DejaVu Sans" w:eastAsia="DejaVu Sans" w:hAnsi="DejaVu Sans" w:cs="DejaVu Sans"/>
                <w:i/>
                <w:sz w:val="18"/>
              </w:rPr>
              <w:t xml:space="preserve">Уличный тренажер 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Sub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5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46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развернутой поверхности оборудования для детских и спортивных площадок,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7.00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47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скамеек и диванов,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19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скамеек,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19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диванов,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48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развернутой поверхности диванов и скамеек,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42,56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49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уличной мебели,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Перечень уличной мебели,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"/>
              <w:jc w:val="center"/>
            </w:pP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c>
          <w:tcPr>
            <w:tcW w:w="180" w:type="dxa"/>
          </w:tcPr>
          <w:p w:rsidR="005259D7" w:rsidRDefault="005259D7">
            <w:pPr>
              <w:pStyle w:val="EMPTYCELLSTYLE"/>
              <w:pageBreakBefore/>
            </w:pPr>
            <w:bookmarkStart w:id="6" w:name="JR_PAGE_ANCHOR_0_6"/>
            <w:bookmarkEnd w:id="6"/>
          </w:p>
        </w:tc>
        <w:tc>
          <w:tcPr>
            <w:tcW w:w="620" w:type="dxa"/>
            <w:gridSpan w:val="2"/>
          </w:tcPr>
          <w:p w:rsidR="005259D7" w:rsidRDefault="005259D7">
            <w:pPr>
              <w:pStyle w:val="EMPTYCELLSTYLE"/>
            </w:pPr>
          </w:p>
        </w:tc>
        <w:tc>
          <w:tcPr>
            <w:tcW w:w="8140" w:type="dxa"/>
            <w:gridSpan w:val="3"/>
          </w:tcPr>
          <w:p w:rsidR="005259D7" w:rsidRDefault="005259D7">
            <w:pPr>
              <w:pStyle w:val="EMPTYCELLSTYLE"/>
            </w:pPr>
          </w:p>
        </w:tc>
        <w:tc>
          <w:tcPr>
            <w:tcW w:w="1460" w:type="dxa"/>
            <w:gridSpan w:val="3"/>
          </w:tcPr>
          <w:p w:rsidR="005259D7" w:rsidRDefault="005259D7">
            <w:pPr>
              <w:pStyle w:val="EMPTYCELLSTYLE"/>
            </w:pP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50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развернутой поверхности уличной мебели,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урн,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9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51.1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чугунных и металлических урн,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51.2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железобетонных урн,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9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51.3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гранитных урн,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развернутой поверхности урн,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11,16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53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стационарных вазонов,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7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54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развернутой поверхности вазонов,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9,1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5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55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устройств для вертикального озеленения и цветочного оформления,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Перечень устройств для вертикального озеленения и цветочного озеленения,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"/>
              <w:jc w:val="center"/>
            </w:pP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5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56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развернутой поверхности устройств для вертикального озеленения и цветочного оформления,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57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газонных ограждений,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>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7.5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58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развернутой поверхности газонных ограждений,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18.0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59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декоративных ограждений,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60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развернутой поверхности оград,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61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прочих ограждений,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>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62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развернутой поверхности прочих ограждений,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63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парапетов,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>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64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лестничных спусков,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58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65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аттракционов, водных устройств, устройств наружного освещения и подсветки, беседок, навесов,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Перечень,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"/>
              <w:jc w:val="center"/>
            </w:pP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66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66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развернутой поверхности аттракционов, водных устройств, устройств наружного освещения и подсветки, беседок, навесов,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67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произведений монументального искусства,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Перечень произведений монументального искусства,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"/>
              <w:jc w:val="center"/>
            </w:pP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68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развернутой поверхности произведений монументального искусства,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69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пешеходных мостиков,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70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полотна пешеходных мостиков,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6.93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71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иных некапитальных объектов,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14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Перечень иных некапитальных объектов,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шт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"/>
              <w:jc w:val="center"/>
            </w:pP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Sub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Sub"/>
            </w:pPr>
            <w:r>
              <w:rPr>
                <w:rFonts w:ascii="DejaVu Sans" w:eastAsia="DejaVu Sans" w:hAnsi="DejaVu Sans" w:cs="DejaVu Sans"/>
                <w:i/>
                <w:sz w:val="18"/>
              </w:rPr>
              <w:t>Декоративная фигура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Sub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259D7">
            <w:pPr>
              <w:pStyle w:val="DefaultSub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Sub"/>
            </w:pPr>
            <w:proofErr w:type="spellStart"/>
            <w:r>
              <w:rPr>
                <w:rFonts w:ascii="DejaVu Sans" w:eastAsia="DejaVu Sans" w:hAnsi="DejaVu Sans" w:cs="DejaVu Sans"/>
                <w:i/>
                <w:sz w:val="18"/>
              </w:rPr>
              <w:t>Антипарковочный</w:t>
            </w:r>
            <w:proofErr w:type="spellEnd"/>
            <w:r>
              <w:rPr>
                <w:rFonts w:ascii="DejaVu Sans" w:eastAsia="DejaVu Sans" w:hAnsi="DejaVu Sans" w:cs="DejaVu Sans"/>
                <w:i/>
                <w:sz w:val="18"/>
              </w:rPr>
              <w:t xml:space="preserve"> столб с закладной деталью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Sub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13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  <w:tr w:rsidR="005259D7">
        <w:tblPrEx>
          <w:tblCellMar>
            <w:top w:w="0" w:type="dxa"/>
            <w:bottom w:w="0" w:type="dxa"/>
          </w:tblCellMar>
        </w:tblPrEx>
        <w:trPr>
          <w:trHeight w:hRule="exact" w:val="520"/>
        </w:trPr>
        <w:tc>
          <w:tcPr>
            <w:tcW w:w="180" w:type="dxa"/>
          </w:tcPr>
          <w:p w:rsidR="005259D7" w:rsidRDefault="005259D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72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Перечень актов, отражающих изменения данных по количеству и характеристикам зеленых насаждений и прочих элементов благоустройства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59D7" w:rsidRDefault="00535C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259D7" w:rsidRDefault="005259D7">
            <w:pPr>
              <w:pStyle w:val="EMPTYCELLSTYLE"/>
            </w:pPr>
          </w:p>
        </w:tc>
      </w:tr>
    </w:tbl>
    <w:p w:rsidR="00535C1C" w:rsidRDefault="00535C1C"/>
    <w:sectPr w:rsidR="00535C1C">
      <w:headerReference w:type="default" r:id="rId6"/>
      <w:type w:val="continuous"/>
      <w:pgSz w:w="11900" w:h="16840"/>
      <w:pgMar w:top="1120" w:right="380" w:bottom="760" w:left="112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5C1C" w:rsidRDefault="00535C1C">
      <w:r>
        <w:separator/>
      </w:r>
    </w:p>
  </w:endnote>
  <w:endnote w:type="continuationSeparator" w:id="0">
    <w:p w:rsidR="00535C1C" w:rsidRDefault="00535C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ansSerif">
    <w:altName w:val="Times New Roman"/>
    <w:panose1 w:val="00000000000000000000"/>
    <w:charset w:val="00"/>
    <w:family w:val="roman"/>
    <w:notTrueType/>
    <w:pitch w:val="default"/>
  </w:font>
  <w:font w:name="DejaVu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5C1C" w:rsidRDefault="00535C1C">
      <w:r>
        <w:separator/>
      </w:r>
    </w:p>
  </w:footnote>
  <w:footnote w:type="continuationSeparator" w:id="0">
    <w:p w:rsidR="00535C1C" w:rsidRDefault="00535C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59D7" w:rsidRDefault="00535C1C">
    <w:pPr>
      <w:pStyle w:val="Default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posOffset>0</wp:posOffset>
              </wp:positionH>
              <wp:positionV relativeFrom="margin">
                <wp:posOffset>0</wp:posOffset>
              </wp:positionV>
              <wp:extent cx="6134100" cy="927100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134100" cy="9271000"/>
                      </a:xfrm>
                      <a:prstGeom prst="rect">
                        <a:avLst/>
                      </a:prstGeom>
                      <a:ln w="6350">
                        <a:noFill/>
                      </a:ln>
                    </wps:spPr>
                    <wps:txbx>
                      <w:txbxContent>
                        <w:p w:rsidR="005259D7" w:rsidRDefault="00535C1C">
                          <w:pPr>
                            <w:pStyle w:val="Default"/>
                          </w:pPr>
                          <w:r>
                            <w:br w:type="page"/>
                          </w:r>
                        </w:p>
                        <w:p w:rsidR="005259D7" w:rsidRDefault="005259D7">
                          <w:pPr>
                            <w:pStyle w:val="Default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0;width:483pt;height:730pt;z-index:251659264;visibility:visible;mso-wrap-style:square;mso-wrap-distance-left:0;mso-wrap-distance-top:0;mso-wrap-distance-right:0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rn9HQIAADcEAAAOAAAAZHJzL2Uyb0RvYy54bWysU11v0zAUfUfiP1h+p0k7GBA1ncqmIqRp&#10;m9SiPbuO00RKfI3tNim/nmMn6dDgCfHi3Nx7fD/OPV7e9G3DTsq6mnTO57OUM6UlFbU+5Pz7bvPu&#10;E2fOC12IhrTK+Vk5frN6+2bZmUwtqKKmUJYhiXZZZ3JeeW+yJHGyUq1wMzJKI1iSbYXHrz0khRUd&#10;srdNskjT66QjWxhLUjkH790Q5KuYvyyV9I9l6ZRnTc7Rm4+njec+nMlqKbKDFaaq5diG+IcuWlFr&#10;FL2kuhNesKOt/0jV1tKSo9LPJLUJlWUtVZwB08zTV9NsK2FUnAXkOHOhyf2/tPLh9GRZXWB3nGnR&#10;YkU71Xv2hXo2D+x0xmUAbQ1gvoc7IEe/gzMM3Ze2DV+MwxAHz+cLtyGZhPN6fvV+niIkEfu8+Ag7&#10;sp+8XDfW+a+KWhaMnFssL3IqTvfOoySgEyRUazTrkPfqQxpRmjZ10wywRgMdOh86DJbv9/3Y9p6K&#10;M6axNKjBGbmpUfFeOP8kLNaPLiFp/4ijbAhFaLQ4q8j+/Js/4LEVRDnrIKecux9HYRVnzTeNfQXt&#10;TYadjP1k6GN7S1AodoBuookL1jeTWVpqn6H0daiCkNAStXLuJ/PWD6LGS5FqvY4gKMwIf6+3RobU&#10;gbPA365/FtaMJHvs54EmoYnsFdcDNtzUtD56Kuu4iEDowOLIM9QZ9zO+pCD/3/8j6uW9r34BAAD/&#10;/wMAUEsDBBQABgAIAAAAIQBVPCQ32gAAAAYBAAAPAAAAZHJzL2Rvd25yZXYueG1sTI9LS8RAEITv&#10;gv9haMGbO7MiQWMmi/i4+VwV9DbJtElwHmGmk43/3taLXhqKKqq/qjaLd2LGlIcYNKxXCgSGNtoh&#10;dBpenm+OTkFkMsEaFwNq+MIMm3p/rzKljbvwhPOWOsElIZdGQ080llLmtkdv8iqOGNj7iMkbYpk6&#10;aZPZcbl38lipQnozBP7QmxEve2w/t5PX4N5yum0Uvc9X3R09Psjp9Xp9r/XhwXJxDoJwob8w/OAz&#10;OtTM1MQp2CycBh5Cv5e9s6Jg2XDopFAKZF3J//j1NwAAAP//AwBQSwECLQAUAAYACAAAACEAtoM4&#10;kv4AAADhAQAAEwAAAAAAAAAAAAAAAAAAAAAAW0NvbnRlbnRfVHlwZXNdLnhtbFBLAQItABQABgAI&#10;AAAAIQA4/SH/1gAAAJQBAAALAAAAAAAAAAAAAAAAAC8BAABfcmVscy8ucmVsc1BLAQItABQABgAI&#10;AAAAIQAnIrn9HQIAADcEAAAOAAAAAAAAAAAAAAAAAC4CAABkcnMvZTJvRG9jLnhtbFBLAQItABQA&#10;BgAIAAAAIQBVPCQ32gAAAAYBAAAPAAAAAAAAAAAAAAAAAHcEAABkcnMvZG93bnJldi54bWxQSwUG&#10;AAAAAAQABADzAAAAfgUAAAAA&#10;" filled="f" stroked="f" strokeweight=".5pt">
              <v:textbox inset="0,0,0,0">
                <w:txbxContent>
                  <w:p w:rsidR="005259D7" w:rsidRDefault="00535C1C">
                    <w:pPr>
                      <w:pStyle w:val="Default"/>
                    </w:pPr>
                    <w:r>
                      <w:br w:type="page"/>
                    </w:r>
                  </w:p>
                  <w:p w:rsidR="005259D7" w:rsidRDefault="005259D7">
                    <w:pPr>
                      <w:pStyle w:val="Default"/>
                    </w:pP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80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59D7"/>
    <w:rsid w:val="005259D7"/>
    <w:rsid w:val="00535C1C"/>
    <w:rsid w:val="00F80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41986"/>
  <w15:docId w15:val="{89B3D26A-29DB-43F8-BF2B-2FEB56F9D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MPTYCELLSTYLE">
    <w:name w:val="EMPTY_CELL_STYLE"/>
    <w:basedOn w:val="Default"/>
    <w:qFormat/>
    <w:rPr>
      <w:sz w:val="1"/>
    </w:rPr>
  </w:style>
  <w:style w:type="paragraph" w:customStyle="1" w:styleId="DefaultSub">
    <w:name w:val="DefaultSub"/>
    <w:qFormat/>
    <w:rPr>
      <w:rFonts w:ascii="SansSerif" w:eastAsia="SansSerif" w:hAnsi="SansSerif" w:cs="SansSerif"/>
      <w:color w:val="000000"/>
    </w:rPr>
  </w:style>
  <w:style w:type="paragraph" w:customStyle="1" w:styleId="Default">
    <w:name w:val="Default"/>
    <w:qFormat/>
    <w:rPr>
      <w:rFonts w:ascii="SansSerif" w:eastAsia="SansSerif" w:hAnsi="SansSerif" w:cs="SansSerif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1520</Words>
  <Characters>8668</Characters>
  <Application>Microsoft Office Word</Application>
  <DocSecurity>0</DocSecurity>
  <Lines>72</Lines>
  <Paragraphs>20</Paragraphs>
  <ScaleCrop>false</ScaleCrop>
  <Company/>
  <LinksUpToDate>false</LinksUpToDate>
  <CharactersWithSpaces>10168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2</cp:revision>
  <dcterms:created xsi:type="dcterms:W3CDTF">2025-12-29T12:56:00Z</dcterms:created>
  <dcterms:modified xsi:type="dcterms:W3CDTF">2025-12-29T13:00:00Z</dcterms:modified>
</cp:coreProperties>
</file>